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75pt" o:ole="" filled="t">
            <v:fill color2="black"/>
            <v:imagedata r:id="rId9" o:title=""/>
          </v:shape>
          <o:OLEObject Type="Embed" ProgID="Word.Picture.8" ShapeID="_x0000_i1025" DrawAspect="Content" ObjectID="_1731488521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A07A1B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</w:t>
      </w:r>
      <w:r w:rsidR="00E16A22" w:rsidRPr="0092657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02.12.2022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1212</w:t>
      </w:r>
    </w:p>
    <w:p w:rsidR="00F169C1" w:rsidRPr="004832BF" w:rsidRDefault="00F169C1" w:rsidP="00583BE7">
      <w:pPr>
        <w:tabs>
          <w:tab w:val="left" w:pos="9720"/>
        </w:tabs>
        <w:suppressAutoHyphens/>
        <w:spacing w:line="240" w:lineRule="auto"/>
        <w:rPr>
          <w:sz w:val="24"/>
          <w:szCs w:val="24"/>
          <w:lang w:eastAsia="ar-SA"/>
        </w:rPr>
      </w:pPr>
    </w:p>
    <w:p w:rsidR="00104EE9" w:rsidRPr="004832BF" w:rsidRDefault="00470BD5" w:rsidP="00104EE9">
      <w:pPr>
        <w:suppressAutoHyphens/>
        <w:spacing w:line="240" w:lineRule="auto"/>
        <w:ind w:right="5669"/>
        <w:rPr>
          <w:b/>
          <w:bCs/>
          <w:sz w:val="24"/>
          <w:szCs w:val="24"/>
          <w:lang w:eastAsia="ar-SA"/>
        </w:rPr>
      </w:pPr>
      <w:bookmarkStart w:id="0" w:name="_GoBack"/>
      <w:r w:rsidRPr="00470BD5">
        <w:rPr>
          <w:b/>
          <w:bCs/>
          <w:sz w:val="28"/>
          <w:szCs w:val="24"/>
          <w:lang w:eastAsia="ar-SA"/>
        </w:rPr>
        <w:t>Об утверждении мест, на которые запрещено</w:t>
      </w:r>
      <w:r>
        <w:rPr>
          <w:b/>
          <w:bCs/>
          <w:sz w:val="28"/>
          <w:szCs w:val="24"/>
          <w:lang w:eastAsia="ar-SA"/>
        </w:rPr>
        <w:t xml:space="preserve"> </w:t>
      </w:r>
      <w:r w:rsidRPr="00470BD5">
        <w:rPr>
          <w:b/>
          <w:bCs/>
          <w:sz w:val="28"/>
          <w:szCs w:val="24"/>
          <w:lang w:eastAsia="ar-SA"/>
        </w:rPr>
        <w:t>возвращать животных без владельцев</w:t>
      </w:r>
      <w:r>
        <w:rPr>
          <w:b/>
          <w:bCs/>
          <w:sz w:val="28"/>
          <w:szCs w:val="24"/>
          <w:lang w:eastAsia="ar-SA"/>
        </w:rPr>
        <w:t xml:space="preserve"> </w:t>
      </w:r>
      <w:r w:rsidRPr="00470BD5">
        <w:rPr>
          <w:b/>
          <w:bCs/>
          <w:sz w:val="28"/>
          <w:szCs w:val="24"/>
          <w:lang w:eastAsia="ar-SA"/>
        </w:rPr>
        <w:t xml:space="preserve">на территории </w:t>
      </w:r>
      <w:r>
        <w:rPr>
          <w:b/>
          <w:bCs/>
          <w:sz w:val="28"/>
          <w:szCs w:val="24"/>
          <w:lang w:eastAsia="ar-SA"/>
        </w:rPr>
        <w:t>города Покачи</w:t>
      </w:r>
      <w:r w:rsidR="00D63457">
        <w:rPr>
          <w:b/>
          <w:bCs/>
          <w:sz w:val="28"/>
          <w:szCs w:val="24"/>
          <w:lang w:eastAsia="ar-SA"/>
        </w:rPr>
        <w:t xml:space="preserve">, и </w:t>
      </w:r>
      <w:r w:rsidR="00D63457" w:rsidRPr="00D63457">
        <w:rPr>
          <w:b/>
          <w:bCs/>
          <w:sz w:val="28"/>
          <w:szCs w:val="24"/>
          <w:lang w:eastAsia="ar-SA"/>
        </w:rPr>
        <w:t xml:space="preserve">перечень лиц, уполномоченных на принятие решений о возврате животных без владельцев на прежние места обитания </w:t>
      </w:r>
      <w:r w:rsidR="005A51DF">
        <w:rPr>
          <w:b/>
          <w:bCs/>
          <w:sz w:val="28"/>
          <w:szCs w:val="24"/>
          <w:lang w:eastAsia="ar-SA"/>
        </w:rPr>
        <w:t>на территории города Покачи</w:t>
      </w:r>
      <w:r>
        <w:rPr>
          <w:b/>
          <w:bCs/>
          <w:sz w:val="28"/>
          <w:szCs w:val="24"/>
          <w:lang w:eastAsia="ar-SA"/>
        </w:rPr>
        <w:t xml:space="preserve"> </w:t>
      </w:r>
    </w:p>
    <w:p w:rsidR="00396C1F" w:rsidRPr="004832BF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4"/>
          <w:szCs w:val="24"/>
          <w:lang w:eastAsia="ar-SA"/>
        </w:rPr>
      </w:pPr>
    </w:p>
    <w:bookmarkEnd w:id="0"/>
    <w:p w:rsidR="0001790C" w:rsidRPr="00497D1E" w:rsidRDefault="00470BD5" w:rsidP="0023091C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  <w:r w:rsidRPr="00470BD5">
        <w:rPr>
          <w:rFonts w:ascii="Times New Roman" w:hAnsi="Times New Roman"/>
          <w:sz w:val="26"/>
          <w:szCs w:val="26"/>
        </w:rPr>
        <w:t xml:space="preserve">В соответствии с частью 15 статьи 16.1. </w:t>
      </w:r>
      <w:proofErr w:type="gramStart"/>
      <w:r w:rsidRPr="00470BD5">
        <w:rPr>
          <w:rFonts w:ascii="Times New Roman" w:hAnsi="Times New Roman"/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FA2527">
        <w:rPr>
          <w:rFonts w:ascii="Times New Roman" w:hAnsi="Times New Roman"/>
          <w:sz w:val="26"/>
          <w:szCs w:val="26"/>
        </w:rPr>
        <w:t xml:space="preserve"> </w:t>
      </w:r>
      <w:r w:rsidR="00FA2527" w:rsidRPr="00FA2527">
        <w:rPr>
          <w:rFonts w:ascii="Times New Roman" w:hAnsi="Times New Roman"/>
          <w:sz w:val="26"/>
          <w:szCs w:val="26"/>
        </w:rPr>
        <w:t>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FA2527">
        <w:rPr>
          <w:rFonts w:ascii="Times New Roman" w:hAnsi="Times New Roman"/>
          <w:sz w:val="26"/>
          <w:szCs w:val="26"/>
        </w:rPr>
        <w:t>,</w:t>
      </w:r>
      <w:r w:rsidRPr="00470BD5">
        <w:rPr>
          <w:rFonts w:ascii="Times New Roman" w:hAnsi="Times New Roman"/>
          <w:sz w:val="26"/>
          <w:szCs w:val="26"/>
        </w:rPr>
        <w:t xml:space="preserve"> </w:t>
      </w:r>
      <w:r w:rsidR="00152094" w:rsidRPr="00152094">
        <w:rPr>
          <w:rFonts w:ascii="Times New Roman" w:hAnsi="Times New Roman"/>
          <w:sz w:val="26"/>
          <w:szCs w:val="26"/>
        </w:rPr>
        <w:t>пунктом 2 статьи 2 Закона Ханты-Мансийского автономного округа - Югры от 10.12.2019 №89-оз «О наделении органов местного самоуправления муниципальных образований Ханты-Мансийского автономного округа</w:t>
      </w:r>
      <w:proofErr w:type="gramEnd"/>
      <w:r w:rsidR="00152094" w:rsidRPr="00152094">
        <w:rPr>
          <w:rFonts w:ascii="Times New Roman" w:hAnsi="Times New Roman"/>
          <w:sz w:val="26"/>
          <w:szCs w:val="26"/>
        </w:rPr>
        <w:t xml:space="preserve"> - Югры отдельным государственным полномочием Ханты-Мансийского автономного округа - Югры по организации мероприятий </w:t>
      </w:r>
      <w:proofErr w:type="gramStart"/>
      <w:r w:rsidR="00152094" w:rsidRPr="00152094">
        <w:rPr>
          <w:rFonts w:ascii="Times New Roman" w:hAnsi="Times New Roman"/>
          <w:sz w:val="26"/>
          <w:szCs w:val="26"/>
        </w:rPr>
        <w:t>при</w:t>
      </w:r>
      <w:proofErr w:type="gramEnd"/>
      <w:r w:rsidR="00152094" w:rsidRPr="0015209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52094" w:rsidRPr="00152094">
        <w:rPr>
          <w:rFonts w:ascii="Times New Roman" w:hAnsi="Times New Roman"/>
          <w:sz w:val="26"/>
          <w:szCs w:val="26"/>
        </w:rPr>
        <w:t>осуществлении</w:t>
      </w:r>
      <w:proofErr w:type="gramEnd"/>
      <w:r w:rsidR="00152094" w:rsidRPr="00152094">
        <w:rPr>
          <w:rFonts w:ascii="Times New Roman" w:hAnsi="Times New Roman"/>
          <w:sz w:val="26"/>
          <w:szCs w:val="26"/>
        </w:rPr>
        <w:t xml:space="preserve"> деятельности по обращению с животными без владельцев»</w:t>
      </w:r>
      <w:r w:rsidR="000D237D">
        <w:rPr>
          <w:rFonts w:ascii="Times New Roman" w:hAnsi="Times New Roman"/>
          <w:sz w:val="26"/>
          <w:szCs w:val="26"/>
        </w:rPr>
        <w:t>, пунктом 16 части 1 статьи 6.1 Устава города Покачи</w:t>
      </w:r>
      <w:r w:rsidR="00C15FF8" w:rsidRPr="00497D1E">
        <w:rPr>
          <w:rFonts w:ascii="Times New Roman" w:hAnsi="Times New Roman"/>
          <w:sz w:val="26"/>
          <w:szCs w:val="26"/>
        </w:rPr>
        <w:t>:</w:t>
      </w:r>
    </w:p>
    <w:p w:rsidR="008D0D4D" w:rsidRPr="00497D1E" w:rsidRDefault="007B41F7" w:rsidP="0023091C">
      <w:pPr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 w:rsidRPr="00497D1E">
        <w:rPr>
          <w:sz w:val="26"/>
          <w:szCs w:val="26"/>
        </w:rPr>
        <w:t xml:space="preserve">1. </w:t>
      </w:r>
      <w:r w:rsidR="00470BD5" w:rsidRPr="00470BD5">
        <w:rPr>
          <w:sz w:val="26"/>
          <w:szCs w:val="26"/>
        </w:rPr>
        <w:t xml:space="preserve">Утвердить места, на которые запрещено возвращать животных без владельцев на территории </w:t>
      </w:r>
      <w:r w:rsidR="00470BD5">
        <w:rPr>
          <w:sz w:val="26"/>
          <w:szCs w:val="26"/>
        </w:rPr>
        <w:t>города Покачи</w:t>
      </w:r>
      <w:r w:rsidR="008D0D4D" w:rsidRPr="00497D1E">
        <w:rPr>
          <w:sz w:val="26"/>
          <w:szCs w:val="26"/>
        </w:rPr>
        <w:t>:</w:t>
      </w:r>
    </w:p>
    <w:p w:rsidR="005A4086" w:rsidRDefault="005A4086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4B504F" w:rsidRPr="00497D1E">
        <w:rPr>
          <w:sz w:val="26"/>
          <w:szCs w:val="26"/>
        </w:rPr>
        <w:t xml:space="preserve">) </w:t>
      </w:r>
      <w:r w:rsidR="00470BD5" w:rsidRPr="00470BD5">
        <w:rPr>
          <w:sz w:val="26"/>
          <w:szCs w:val="26"/>
        </w:rPr>
        <w:t>детские, спортивные площадки</w:t>
      </w:r>
      <w:r w:rsidR="00470BD5">
        <w:rPr>
          <w:sz w:val="26"/>
          <w:szCs w:val="26"/>
        </w:rPr>
        <w:t>;</w:t>
      </w:r>
    </w:p>
    <w:p w:rsidR="00470BD5" w:rsidRDefault="005A4086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5A4086">
        <w:rPr>
          <w:sz w:val="26"/>
          <w:szCs w:val="26"/>
        </w:rPr>
        <w:t xml:space="preserve">) </w:t>
      </w:r>
      <w:r w:rsidR="00470BD5" w:rsidRPr="00470BD5">
        <w:rPr>
          <w:sz w:val="26"/>
          <w:szCs w:val="26"/>
        </w:rPr>
        <w:t>территории парков, скверов, места массового отдыха</w:t>
      </w:r>
      <w:r w:rsidR="00470BD5">
        <w:rPr>
          <w:sz w:val="26"/>
          <w:szCs w:val="26"/>
        </w:rPr>
        <w:t>;</w:t>
      </w:r>
    </w:p>
    <w:p w:rsidR="00470BD5" w:rsidRDefault="00470BD5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70BD5">
        <w:rPr>
          <w:sz w:val="26"/>
          <w:szCs w:val="26"/>
        </w:rPr>
        <w:t>территории детских, образовательных учреждений</w:t>
      </w:r>
      <w:r>
        <w:rPr>
          <w:sz w:val="26"/>
          <w:szCs w:val="26"/>
        </w:rPr>
        <w:t>;</w:t>
      </w:r>
    </w:p>
    <w:p w:rsidR="00272CE3" w:rsidRDefault="00272CE3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4) территории спортивных объектов;</w:t>
      </w:r>
    </w:p>
    <w:p w:rsidR="00470BD5" w:rsidRDefault="00272CE3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470BD5">
        <w:rPr>
          <w:sz w:val="26"/>
          <w:szCs w:val="26"/>
        </w:rPr>
        <w:t xml:space="preserve">) </w:t>
      </w:r>
      <w:r w:rsidR="00470BD5" w:rsidRPr="00470BD5">
        <w:rPr>
          <w:sz w:val="26"/>
          <w:szCs w:val="26"/>
        </w:rPr>
        <w:t>территории, прилегающие к объектам культуры и искусства</w:t>
      </w:r>
      <w:r w:rsidR="00470BD5">
        <w:rPr>
          <w:sz w:val="26"/>
          <w:szCs w:val="26"/>
        </w:rPr>
        <w:t>;</w:t>
      </w:r>
    </w:p>
    <w:p w:rsidR="00470BD5" w:rsidRDefault="00272CE3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470BD5">
        <w:rPr>
          <w:sz w:val="26"/>
          <w:szCs w:val="26"/>
        </w:rPr>
        <w:t xml:space="preserve">) </w:t>
      </w:r>
      <w:r w:rsidR="00470BD5" w:rsidRPr="00470BD5">
        <w:rPr>
          <w:sz w:val="26"/>
          <w:szCs w:val="26"/>
        </w:rPr>
        <w:t>места, предназначенные для выгула домашних животных</w:t>
      </w:r>
      <w:r w:rsidR="009155CA">
        <w:rPr>
          <w:sz w:val="26"/>
          <w:szCs w:val="26"/>
        </w:rPr>
        <w:t>;</w:t>
      </w:r>
    </w:p>
    <w:p w:rsidR="005A38C4" w:rsidRDefault="005A38C4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Pr="005A38C4">
        <w:rPr>
          <w:sz w:val="26"/>
          <w:szCs w:val="26"/>
        </w:rPr>
        <w:t>) терр</w:t>
      </w:r>
      <w:r>
        <w:rPr>
          <w:sz w:val="26"/>
          <w:szCs w:val="26"/>
        </w:rPr>
        <w:t>итории объектов здравоохранения;</w:t>
      </w:r>
    </w:p>
    <w:p w:rsidR="009155CA" w:rsidRDefault="005A38C4" w:rsidP="00FB673B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9155CA">
        <w:rPr>
          <w:sz w:val="26"/>
          <w:szCs w:val="26"/>
        </w:rPr>
        <w:t xml:space="preserve">) </w:t>
      </w:r>
      <w:r w:rsidR="009155CA" w:rsidRPr="009155CA">
        <w:rPr>
          <w:sz w:val="26"/>
          <w:szCs w:val="26"/>
        </w:rPr>
        <w:t>территории учреждений социальной сферы</w:t>
      </w:r>
      <w:r>
        <w:rPr>
          <w:sz w:val="26"/>
          <w:szCs w:val="26"/>
        </w:rPr>
        <w:t>.</w:t>
      </w:r>
    </w:p>
    <w:p w:rsidR="00FB673B" w:rsidRPr="00FB673B" w:rsidRDefault="00FB673B" w:rsidP="00FB673B">
      <w:pPr>
        <w:autoSpaceDE w:val="0"/>
        <w:autoSpaceDN w:val="0"/>
        <w:spacing w:line="24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2606">
        <w:rPr>
          <w:sz w:val="26"/>
          <w:szCs w:val="26"/>
        </w:rPr>
        <w:t>Н</w:t>
      </w:r>
      <w:r w:rsidR="00792606" w:rsidRPr="00470BD5">
        <w:rPr>
          <w:sz w:val="26"/>
          <w:szCs w:val="26"/>
        </w:rPr>
        <w:t xml:space="preserve">азначить лицом, уполномоченным на принятие решений о возврате животных без владельцев на прежние места обитания животных на территории </w:t>
      </w:r>
      <w:r w:rsidR="00792606">
        <w:rPr>
          <w:sz w:val="26"/>
          <w:szCs w:val="26"/>
        </w:rPr>
        <w:t>города Покачи, руководителя</w:t>
      </w:r>
      <w:r w:rsidR="00E73BFA">
        <w:rPr>
          <w:sz w:val="26"/>
          <w:szCs w:val="26"/>
        </w:rPr>
        <w:t xml:space="preserve"> специализированной организации оказывающей услуги по муниципальному контракту (договору), заключенному на выполнение услуг </w:t>
      </w:r>
      <w:r w:rsidR="00470BD5" w:rsidRPr="00470BD5">
        <w:rPr>
          <w:sz w:val="26"/>
          <w:szCs w:val="26"/>
        </w:rPr>
        <w:t xml:space="preserve"> </w:t>
      </w:r>
      <w:r w:rsidR="00E73BFA" w:rsidRPr="00E73BFA">
        <w:rPr>
          <w:sz w:val="26"/>
          <w:szCs w:val="26"/>
        </w:rPr>
        <w:t>по проведению мероприятий по обращению с животными без владельцев</w:t>
      </w:r>
      <w:r w:rsidR="00792606">
        <w:rPr>
          <w:sz w:val="26"/>
          <w:szCs w:val="26"/>
        </w:rPr>
        <w:t>.</w:t>
      </w:r>
    </w:p>
    <w:p w:rsidR="00FF5F45" w:rsidRPr="00497D1E" w:rsidRDefault="00470BD5" w:rsidP="0023091C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E25D16" w:rsidRPr="00497D1E">
        <w:rPr>
          <w:sz w:val="26"/>
          <w:szCs w:val="26"/>
        </w:rPr>
        <w:t xml:space="preserve">. </w:t>
      </w:r>
      <w:r w:rsidR="00A97058" w:rsidRPr="00497D1E">
        <w:rPr>
          <w:sz w:val="26"/>
          <w:szCs w:val="26"/>
        </w:rPr>
        <w:t xml:space="preserve">Настоящее постановление вступает в силу </w:t>
      </w:r>
      <w:r w:rsidR="00FF5F45" w:rsidRPr="00497D1E">
        <w:rPr>
          <w:sz w:val="26"/>
          <w:szCs w:val="26"/>
        </w:rPr>
        <w:t xml:space="preserve">после его официального </w:t>
      </w:r>
      <w:r w:rsidR="00FF5F45" w:rsidRPr="00497D1E">
        <w:rPr>
          <w:sz w:val="26"/>
          <w:szCs w:val="26"/>
        </w:rPr>
        <w:lastRenderedPageBreak/>
        <w:t>опубликования.</w:t>
      </w:r>
    </w:p>
    <w:p w:rsidR="000F1EBA" w:rsidRPr="00497D1E" w:rsidRDefault="00470BD5" w:rsidP="0023091C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0F1EBA" w:rsidRPr="00497D1E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985E8F" w:rsidRPr="00497D1E" w:rsidRDefault="00470BD5" w:rsidP="00497D1E">
      <w:pPr>
        <w:autoSpaceDE w:val="0"/>
        <w:autoSpaceDN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F1EBA" w:rsidRPr="00497D1E">
        <w:rPr>
          <w:sz w:val="26"/>
          <w:szCs w:val="26"/>
        </w:rPr>
        <w:t xml:space="preserve">. </w:t>
      </w:r>
      <w:proofErr w:type="gramStart"/>
      <w:r w:rsidR="00985E8F" w:rsidRPr="00497D1E">
        <w:rPr>
          <w:sz w:val="26"/>
          <w:szCs w:val="26"/>
        </w:rPr>
        <w:t>Контроль за</w:t>
      </w:r>
      <w:proofErr w:type="gramEnd"/>
      <w:r w:rsidR="00985E8F" w:rsidRPr="00497D1E">
        <w:rPr>
          <w:sz w:val="26"/>
          <w:szCs w:val="26"/>
        </w:rPr>
        <w:t xml:space="preserve"> выполнением постановления возложить на заместителя главы города Покачи </w:t>
      </w:r>
      <w:proofErr w:type="spellStart"/>
      <w:r w:rsidR="00985E8F" w:rsidRPr="00497D1E">
        <w:rPr>
          <w:sz w:val="26"/>
          <w:szCs w:val="26"/>
        </w:rPr>
        <w:t>Вафина</w:t>
      </w:r>
      <w:proofErr w:type="spellEnd"/>
      <w:r w:rsidR="0023091C" w:rsidRPr="00497D1E">
        <w:rPr>
          <w:sz w:val="26"/>
          <w:szCs w:val="26"/>
        </w:rPr>
        <w:t xml:space="preserve"> Н.Ш.</w:t>
      </w:r>
    </w:p>
    <w:p w:rsidR="00E16A22" w:rsidRPr="00497D1E" w:rsidRDefault="00E16A22" w:rsidP="0023091C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6"/>
          <w:szCs w:val="26"/>
        </w:rPr>
      </w:pPr>
    </w:p>
    <w:p w:rsidR="00946677" w:rsidRDefault="00946677" w:rsidP="00BE673E">
      <w:pPr>
        <w:suppressAutoHyphens/>
        <w:spacing w:line="240" w:lineRule="auto"/>
        <w:rPr>
          <w:sz w:val="26"/>
          <w:szCs w:val="26"/>
        </w:rPr>
      </w:pPr>
    </w:p>
    <w:p w:rsidR="00E16A22" w:rsidRPr="00E4088F" w:rsidRDefault="00946677" w:rsidP="0023091C">
      <w:pPr>
        <w:suppressAutoHyphens/>
        <w:spacing w:line="240" w:lineRule="auto"/>
        <w:rPr>
          <w:b/>
          <w:noProof/>
          <w:sz w:val="28"/>
          <w:szCs w:val="28"/>
        </w:rPr>
      </w:pPr>
      <w:r w:rsidRPr="00E4088F">
        <w:rPr>
          <w:b/>
          <w:noProof/>
          <w:sz w:val="28"/>
          <w:szCs w:val="28"/>
        </w:rPr>
        <w:t>Глава</w:t>
      </w:r>
      <w:r w:rsidR="00BE673E" w:rsidRPr="00E4088F">
        <w:rPr>
          <w:b/>
          <w:noProof/>
          <w:sz w:val="28"/>
          <w:szCs w:val="28"/>
        </w:rPr>
        <w:t xml:space="preserve"> города Покачи</w:t>
      </w:r>
      <w:r w:rsidR="00E16A22" w:rsidRPr="00E4088F">
        <w:rPr>
          <w:rFonts w:eastAsia="Arial Unicode MS"/>
          <w:b/>
          <w:sz w:val="26"/>
          <w:szCs w:val="26"/>
        </w:rPr>
        <w:tab/>
      </w:r>
      <w:r w:rsidR="00BE673E" w:rsidRPr="00E4088F">
        <w:rPr>
          <w:rFonts w:eastAsia="Arial Unicode MS"/>
          <w:b/>
          <w:sz w:val="26"/>
          <w:szCs w:val="26"/>
        </w:rPr>
        <w:tab/>
      </w:r>
      <w:r w:rsidR="00BE673E" w:rsidRPr="00E4088F">
        <w:rPr>
          <w:rFonts w:eastAsia="Arial Unicode MS"/>
          <w:b/>
          <w:sz w:val="26"/>
          <w:szCs w:val="26"/>
        </w:rPr>
        <w:tab/>
      </w:r>
      <w:r w:rsidR="006F2840" w:rsidRPr="00E4088F">
        <w:rPr>
          <w:rFonts w:eastAsia="Arial Unicode MS"/>
          <w:b/>
          <w:sz w:val="26"/>
          <w:szCs w:val="26"/>
        </w:rPr>
        <w:tab/>
      </w:r>
      <w:r w:rsidR="006F2840" w:rsidRPr="00E4088F">
        <w:rPr>
          <w:rFonts w:eastAsia="Arial Unicode MS"/>
          <w:b/>
          <w:sz w:val="26"/>
          <w:szCs w:val="26"/>
        </w:rPr>
        <w:tab/>
      </w:r>
      <w:r w:rsidR="006F2840" w:rsidRPr="00E4088F">
        <w:rPr>
          <w:rFonts w:eastAsia="Arial Unicode MS"/>
          <w:b/>
          <w:sz w:val="26"/>
          <w:szCs w:val="26"/>
        </w:rPr>
        <w:tab/>
      </w:r>
      <w:r w:rsidR="006F2840" w:rsidRPr="00E4088F">
        <w:rPr>
          <w:rFonts w:eastAsia="Arial Unicode MS"/>
          <w:b/>
          <w:sz w:val="26"/>
          <w:szCs w:val="26"/>
        </w:rPr>
        <w:tab/>
      </w:r>
      <w:r w:rsidRPr="00E4088F">
        <w:rPr>
          <w:rFonts w:eastAsia="Arial Unicode MS"/>
          <w:b/>
          <w:sz w:val="26"/>
          <w:szCs w:val="26"/>
        </w:rPr>
        <w:t xml:space="preserve">            В.Л. Таненков</w:t>
      </w:r>
    </w:p>
    <w:p w:rsidR="00E4088F" w:rsidRPr="00E4088F" w:rsidRDefault="00E4088F">
      <w:pPr>
        <w:suppressAutoHyphens/>
        <w:spacing w:line="240" w:lineRule="auto"/>
        <w:rPr>
          <w:b/>
          <w:noProof/>
          <w:sz w:val="28"/>
          <w:szCs w:val="28"/>
        </w:rPr>
      </w:pPr>
    </w:p>
    <w:sectPr w:rsidR="00E4088F" w:rsidRPr="00E4088F" w:rsidSect="00497D1E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30" w:rsidRDefault="00814630" w:rsidP="009F142B">
      <w:pPr>
        <w:spacing w:line="240" w:lineRule="auto"/>
      </w:pPr>
      <w:r>
        <w:separator/>
      </w:r>
    </w:p>
  </w:endnote>
  <w:endnote w:type="continuationSeparator" w:id="0">
    <w:p w:rsidR="00814630" w:rsidRDefault="00814630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30" w:rsidRDefault="00814630" w:rsidP="009F142B">
      <w:pPr>
        <w:spacing w:line="240" w:lineRule="auto"/>
      </w:pPr>
      <w:r>
        <w:separator/>
      </w:r>
    </w:p>
  </w:footnote>
  <w:footnote w:type="continuationSeparator" w:id="0">
    <w:p w:rsidR="00814630" w:rsidRDefault="00814630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461CC9" w:rsidRDefault="00461CC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CC9" w:rsidRDefault="00461CC9">
    <w:pPr>
      <w:pStyle w:val="a6"/>
      <w:jc w:val="center"/>
    </w:pPr>
  </w:p>
  <w:p w:rsidR="00461CC9" w:rsidRDefault="00461CC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C381F"/>
    <w:rsid w:val="000D237D"/>
    <w:rsid w:val="000D4FB8"/>
    <w:rsid w:val="000E0FE4"/>
    <w:rsid w:val="000F1EBA"/>
    <w:rsid w:val="000F617A"/>
    <w:rsid w:val="00104EE9"/>
    <w:rsid w:val="001110D5"/>
    <w:rsid w:val="00115E83"/>
    <w:rsid w:val="001200F2"/>
    <w:rsid w:val="001249BA"/>
    <w:rsid w:val="00124FF4"/>
    <w:rsid w:val="00126006"/>
    <w:rsid w:val="00126B37"/>
    <w:rsid w:val="001307FB"/>
    <w:rsid w:val="0013461F"/>
    <w:rsid w:val="00135418"/>
    <w:rsid w:val="00137FAD"/>
    <w:rsid w:val="00147517"/>
    <w:rsid w:val="00152094"/>
    <w:rsid w:val="00152B2B"/>
    <w:rsid w:val="001610A2"/>
    <w:rsid w:val="001611FA"/>
    <w:rsid w:val="001615D1"/>
    <w:rsid w:val="0016648C"/>
    <w:rsid w:val="00166736"/>
    <w:rsid w:val="001701FB"/>
    <w:rsid w:val="00174781"/>
    <w:rsid w:val="0017696C"/>
    <w:rsid w:val="00181D6E"/>
    <w:rsid w:val="001918D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091C"/>
    <w:rsid w:val="002319C7"/>
    <w:rsid w:val="00237723"/>
    <w:rsid w:val="0024188D"/>
    <w:rsid w:val="00241BEF"/>
    <w:rsid w:val="002460F5"/>
    <w:rsid w:val="00250F95"/>
    <w:rsid w:val="002514F3"/>
    <w:rsid w:val="0026334C"/>
    <w:rsid w:val="00267906"/>
    <w:rsid w:val="00272CE3"/>
    <w:rsid w:val="0027675A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B49CB"/>
    <w:rsid w:val="002C20CB"/>
    <w:rsid w:val="002C6AD8"/>
    <w:rsid w:val="002E3D90"/>
    <w:rsid w:val="002E6114"/>
    <w:rsid w:val="002F1EC8"/>
    <w:rsid w:val="002F504E"/>
    <w:rsid w:val="002F6DE8"/>
    <w:rsid w:val="003117B2"/>
    <w:rsid w:val="0031267B"/>
    <w:rsid w:val="0031309D"/>
    <w:rsid w:val="003133B0"/>
    <w:rsid w:val="00314AB0"/>
    <w:rsid w:val="0031647B"/>
    <w:rsid w:val="003219DD"/>
    <w:rsid w:val="00331CCF"/>
    <w:rsid w:val="00333973"/>
    <w:rsid w:val="003372CD"/>
    <w:rsid w:val="003443DE"/>
    <w:rsid w:val="00344ABB"/>
    <w:rsid w:val="00370F6C"/>
    <w:rsid w:val="00372B13"/>
    <w:rsid w:val="00374781"/>
    <w:rsid w:val="0037626D"/>
    <w:rsid w:val="0038094C"/>
    <w:rsid w:val="0038225F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2CCE"/>
    <w:rsid w:val="00403BF3"/>
    <w:rsid w:val="00422914"/>
    <w:rsid w:val="0042677E"/>
    <w:rsid w:val="0043264B"/>
    <w:rsid w:val="004330C5"/>
    <w:rsid w:val="00435EE2"/>
    <w:rsid w:val="0044114B"/>
    <w:rsid w:val="0044133A"/>
    <w:rsid w:val="00443CA6"/>
    <w:rsid w:val="00447CAC"/>
    <w:rsid w:val="00461CC9"/>
    <w:rsid w:val="00463F3D"/>
    <w:rsid w:val="00465BFE"/>
    <w:rsid w:val="00470BD5"/>
    <w:rsid w:val="0047670D"/>
    <w:rsid w:val="00476F54"/>
    <w:rsid w:val="0048328B"/>
    <w:rsid w:val="004832BF"/>
    <w:rsid w:val="0048348C"/>
    <w:rsid w:val="00487929"/>
    <w:rsid w:val="0048794F"/>
    <w:rsid w:val="00497D1E"/>
    <w:rsid w:val="004A3293"/>
    <w:rsid w:val="004A35C0"/>
    <w:rsid w:val="004B1FF9"/>
    <w:rsid w:val="004B504F"/>
    <w:rsid w:val="004B7771"/>
    <w:rsid w:val="004C07BD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22860"/>
    <w:rsid w:val="005437A0"/>
    <w:rsid w:val="00550D00"/>
    <w:rsid w:val="00556921"/>
    <w:rsid w:val="005669F6"/>
    <w:rsid w:val="00570928"/>
    <w:rsid w:val="00571CC6"/>
    <w:rsid w:val="00583BE7"/>
    <w:rsid w:val="00586244"/>
    <w:rsid w:val="00590B56"/>
    <w:rsid w:val="0059177B"/>
    <w:rsid w:val="005919F8"/>
    <w:rsid w:val="005A38C4"/>
    <w:rsid w:val="005A4086"/>
    <w:rsid w:val="005A5014"/>
    <w:rsid w:val="005A51DF"/>
    <w:rsid w:val="005A53D1"/>
    <w:rsid w:val="005A6B2A"/>
    <w:rsid w:val="005B052E"/>
    <w:rsid w:val="005C55F1"/>
    <w:rsid w:val="005D0AF3"/>
    <w:rsid w:val="005D1899"/>
    <w:rsid w:val="005E613B"/>
    <w:rsid w:val="005F2EFD"/>
    <w:rsid w:val="0060043A"/>
    <w:rsid w:val="006004B3"/>
    <w:rsid w:val="00602AA4"/>
    <w:rsid w:val="00603731"/>
    <w:rsid w:val="006041B9"/>
    <w:rsid w:val="00607B52"/>
    <w:rsid w:val="006116DD"/>
    <w:rsid w:val="0061357D"/>
    <w:rsid w:val="00613B2D"/>
    <w:rsid w:val="00616618"/>
    <w:rsid w:val="00620957"/>
    <w:rsid w:val="0062209D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A0AE4"/>
    <w:rsid w:val="006A598F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674"/>
    <w:rsid w:val="007057B6"/>
    <w:rsid w:val="00705D07"/>
    <w:rsid w:val="00716B67"/>
    <w:rsid w:val="00720F00"/>
    <w:rsid w:val="00730855"/>
    <w:rsid w:val="007349C0"/>
    <w:rsid w:val="00734CA2"/>
    <w:rsid w:val="00740EC5"/>
    <w:rsid w:val="007418AD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77E35"/>
    <w:rsid w:val="00782B69"/>
    <w:rsid w:val="00792606"/>
    <w:rsid w:val="007A25DC"/>
    <w:rsid w:val="007B41F7"/>
    <w:rsid w:val="007B717D"/>
    <w:rsid w:val="007D2CEB"/>
    <w:rsid w:val="007E2912"/>
    <w:rsid w:val="007E300B"/>
    <w:rsid w:val="007E4549"/>
    <w:rsid w:val="007F7D3D"/>
    <w:rsid w:val="00802F75"/>
    <w:rsid w:val="00814630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1733"/>
    <w:rsid w:val="008C6695"/>
    <w:rsid w:val="008C6C9E"/>
    <w:rsid w:val="008D0D4D"/>
    <w:rsid w:val="008D6007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05A41"/>
    <w:rsid w:val="009155CA"/>
    <w:rsid w:val="00915D35"/>
    <w:rsid w:val="0092242F"/>
    <w:rsid w:val="00926579"/>
    <w:rsid w:val="009401FB"/>
    <w:rsid w:val="00946677"/>
    <w:rsid w:val="009501C7"/>
    <w:rsid w:val="00960AB6"/>
    <w:rsid w:val="0096569C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07A1B"/>
    <w:rsid w:val="00A15338"/>
    <w:rsid w:val="00A2257A"/>
    <w:rsid w:val="00A26716"/>
    <w:rsid w:val="00A444AD"/>
    <w:rsid w:val="00A52B94"/>
    <w:rsid w:val="00A61EB1"/>
    <w:rsid w:val="00A63A77"/>
    <w:rsid w:val="00A64D4A"/>
    <w:rsid w:val="00A72AB4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038E"/>
    <w:rsid w:val="00AB4448"/>
    <w:rsid w:val="00AD114B"/>
    <w:rsid w:val="00AD5395"/>
    <w:rsid w:val="00AD6475"/>
    <w:rsid w:val="00AE0E0D"/>
    <w:rsid w:val="00AF26FA"/>
    <w:rsid w:val="00AF4534"/>
    <w:rsid w:val="00AF54BF"/>
    <w:rsid w:val="00B0046B"/>
    <w:rsid w:val="00B0080E"/>
    <w:rsid w:val="00B02772"/>
    <w:rsid w:val="00B033E5"/>
    <w:rsid w:val="00B069F6"/>
    <w:rsid w:val="00B06B62"/>
    <w:rsid w:val="00B141FA"/>
    <w:rsid w:val="00B17086"/>
    <w:rsid w:val="00B17E95"/>
    <w:rsid w:val="00B223B1"/>
    <w:rsid w:val="00B23C6D"/>
    <w:rsid w:val="00B346C0"/>
    <w:rsid w:val="00B36A73"/>
    <w:rsid w:val="00B524E0"/>
    <w:rsid w:val="00B64941"/>
    <w:rsid w:val="00B8794B"/>
    <w:rsid w:val="00B90456"/>
    <w:rsid w:val="00BA0F48"/>
    <w:rsid w:val="00BA2883"/>
    <w:rsid w:val="00BA5210"/>
    <w:rsid w:val="00BB28B3"/>
    <w:rsid w:val="00BC22C6"/>
    <w:rsid w:val="00BC29EE"/>
    <w:rsid w:val="00BC532E"/>
    <w:rsid w:val="00BC59BE"/>
    <w:rsid w:val="00BC6E0C"/>
    <w:rsid w:val="00BD16CA"/>
    <w:rsid w:val="00BD59B9"/>
    <w:rsid w:val="00BE673E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17927"/>
    <w:rsid w:val="00C325E6"/>
    <w:rsid w:val="00C33C83"/>
    <w:rsid w:val="00C3709E"/>
    <w:rsid w:val="00C4246A"/>
    <w:rsid w:val="00C51FF7"/>
    <w:rsid w:val="00C57277"/>
    <w:rsid w:val="00C62F12"/>
    <w:rsid w:val="00C66004"/>
    <w:rsid w:val="00C70CA6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E16C8"/>
    <w:rsid w:val="00CE6049"/>
    <w:rsid w:val="00CF18E1"/>
    <w:rsid w:val="00CF4221"/>
    <w:rsid w:val="00D00665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3457"/>
    <w:rsid w:val="00D6762D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088F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73BFA"/>
    <w:rsid w:val="00E74974"/>
    <w:rsid w:val="00E80A51"/>
    <w:rsid w:val="00E83D0A"/>
    <w:rsid w:val="00E912CB"/>
    <w:rsid w:val="00EA6A7E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0154C"/>
    <w:rsid w:val="00F169C1"/>
    <w:rsid w:val="00F17E41"/>
    <w:rsid w:val="00F20503"/>
    <w:rsid w:val="00F328A8"/>
    <w:rsid w:val="00F336BB"/>
    <w:rsid w:val="00F34608"/>
    <w:rsid w:val="00F4531B"/>
    <w:rsid w:val="00F463F2"/>
    <w:rsid w:val="00F502A8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2527"/>
    <w:rsid w:val="00FA68C7"/>
    <w:rsid w:val="00FA7ECA"/>
    <w:rsid w:val="00FB003E"/>
    <w:rsid w:val="00FB2E74"/>
    <w:rsid w:val="00FB54F7"/>
    <w:rsid w:val="00FB6357"/>
    <w:rsid w:val="00FB673B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09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91C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23091C"/>
    <w:rPr>
      <w:rFonts w:ascii="Times New Roman" w:eastAsiaTheme="minorEastAsia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9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91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309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3091C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23091C"/>
    <w:rPr>
      <w:rFonts w:ascii="Times New Roman" w:eastAsiaTheme="minorEastAsia" w:hAnsi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9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3091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05AC6-F1CF-4012-8977-6FF23E0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Балчугова Вера Владимировна</cp:lastModifiedBy>
  <cp:revision>2</cp:revision>
  <cp:lastPrinted>2020-07-10T07:03:00Z</cp:lastPrinted>
  <dcterms:created xsi:type="dcterms:W3CDTF">2022-12-02T07:16:00Z</dcterms:created>
  <dcterms:modified xsi:type="dcterms:W3CDTF">2022-12-02T07:16:00Z</dcterms:modified>
</cp:coreProperties>
</file>